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54" w:rsidRDefault="00512B54">
      <w:bookmarkStart w:id="0" w:name="_GoBack"/>
      <w:bookmarkEnd w:id="0"/>
    </w:p>
    <w:tbl>
      <w:tblPr>
        <w:tblW w:w="9973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9973"/>
      </w:tblGrid>
      <w:tr w:rsidR="00512B54">
        <w:trPr>
          <w:trHeight w:val="2493"/>
        </w:trPr>
        <w:tc>
          <w:tcPr>
            <w:tcW w:w="9973" w:type="dxa"/>
          </w:tcPr>
          <w:p w:rsidR="00512B54" w:rsidRDefault="00D86329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проверки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Муниципального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бюджетного дошкольного образовательного учреждения «Детский сад № 17 «Алёнушка»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финансовым отделом администрации городского округа ЗАТО Свободный в рамках полномочий по осуществлению внутреннего муниципально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го финансового контроля в финансово – бюджетной сфере</w:t>
            </w:r>
          </w:p>
          <w:p w:rsidR="00512B54" w:rsidRDefault="00512B54">
            <w:pPr>
              <w:widowControl w:val="0"/>
              <w:ind w:firstLine="737"/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512B54" w:rsidRDefault="00D86329">
            <w:pPr>
              <w:pStyle w:val="ac"/>
              <w:widowControl w:val="0"/>
              <w:spacing w:after="0" w:line="240" w:lineRule="auto"/>
              <w:ind w:left="0" w:firstLine="7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Финансовым отделом администрации городского округа ЗАТО Свободный в период с 21 марта по 17 апреля 2023 года проведена проверка Муниципального </w:t>
            </w:r>
            <w:r>
              <w:rPr>
                <w:rFonts w:ascii="Liberation Serif" w:hAnsi="Liberation Serif"/>
                <w:sz w:val="28"/>
                <w:szCs w:val="28"/>
              </w:rPr>
              <w:t>бюджетного дошкольного образовательного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учреждения «Детски</w:t>
            </w:r>
            <w:r>
              <w:rPr>
                <w:rFonts w:ascii="Liberation Serif" w:hAnsi="Liberation Serif"/>
                <w:sz w:val="28"/>
                <w:szCs w:val="28"/>
              </w:rPr>
              <w:t>й сад № 17 «Алёнушка». Проверяемый период: с 01.01.2022 по 31.12.2022 год.</w:t>
            </w:r>
          </w:p>
          <w:p w:rsidR="00512B54" w:rsidRDefault="00D86329">
            <w:pPr>
              <w:pStyle w:val="ac"/>
              <w:widowControl w:val="0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 ходе контрольного мероприятия выявлено следующее:</w:t>
            </w:r>
          </w:p>
          <w:p w:rsidR="00512B54" w:rsidRDefault="00D86329">
            <w:pPr>
              <w:pStyle w:val="ac"/>
              <w:widowControl w:val="0"/>
              <w:spacing w:after="0" w:line="240" w:lineRule="auto"/>
              <w:ind w:left="0" w:firstLine="709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- в нарушение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ч. 6.3 Указаний Банка России № 3210-У,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ч. 213 Инструкции № 157н заявление о выдачи денежных средств не содержат ин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формацию о сроке, на который оно выдано, а также расчет (обоснование) размера аванса;</w:t>
            </w:r>
          </w:p>
          <w:p w:rsidR="00512B54" w:rsidRDefault="00D86329">
            <w:pPr>
              <w:widowControl w:val="0"/>
              <w:ind w:firstLine="709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в нарушение 6.3 Указания Банка России №3210 –У, п. 7.4 Учетной политики учреждения установлен факт несвоевременного предоставления авансового отчета;</w:t>
            </w:r>
          </w:p>
          <w:p w:rsidR="00512B54" w:rsidRDefault="00D86329">
            <w:pPr>
              <w:widowControl w:val="0"/>
              <w:ind w:firstLine="709"/>
              <w:contextualSpacing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</w:rPr>
              <w:t xml:space="preserve">- нарушение требований к оформлению авансовых отчетов </w:t>
            </w:r>
            <w:r>
              <w:rPr>
                <w:rFonts w:ascii="Liberation Serif" w:eastAsia="Calibri" w:hAnsi="Liberation Serif" w:cs="Liberation Serif"/>
                <w:bCs/>
                <w:sz w:val="28"/>
                <w:szCs w:val="28"/>
              </w:rPr>
              <w:br/>
              <w:t>(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отсутствует подпись бухгалтера по авансовому отчету,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расписка, являющаяся подтверждением того, что авансовый отчет и приложенные к нему документы получены от работника, не передаются подотчетному лицу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после получения от него документов);</w:t>
            </w:r>
          </w:p>
          <w:p w:rsidR="00512B54" w:rsidRDefault="00D86329">
            <w:pPr>
              <w:widowControl w:val="0"/>
              <w:ind w:firstLine="709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- в нарушение норм п. 7.1, 7.5 Учетной политики учреждения денежные средства и документы выдаются ранее согласования заявления на выдачу денежных средств руководителем учреждения;</w:t>
            </w:r>
          </w:p>
          <w:p w:rsidR="00512B54" w:rsidRDefault="00D86329">
            <w:pPr>
              <w:widowControl w:val="0"/>
              <w:ind w:firstLine="709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- </w:t>
            </w:r>
            <w:hyperlink r:id="rId8">
              <w:r>
                <w:rPr>
                  <w:rFonts w:ascii="Liberation Serif" w:hAnsi="Liberation Serif"/>
                  <w:bCs/>
                  <w:color w:val="000000" w:themeColor="text1"/>
                  <w:sz w:val="28"/>
                  <w:szCs w:val="28"/>
                </w:rPr>
                <w:t>не соблюдается установленный порядок выдачи денежных средств подотчет, а именно: выдача денежных средств подотчет происходила после фактического</w:t>
              </w:r>
              <w:r>
                <w:rPr>
                  <w:rFonts w:ascii="Liberation Serif" w:hAnsi="Liberation Serif"/>
                  <w:bCs/>
                  <w:color w:val="000000" w:themeColor="text1"/>
                  <w:sz w:val="28"/>
                  <w:szCs w:val="28"/>
                </w:rPr>
                <w:t xml:space="preserve"> расходования денежных средств подотчетными лицами на административно – хозяйственные нужды (пункт 213 приказа № 157н)</w:t>
              </w:r>
            </w:hyperlink>
            <w:r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;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- в нарушение норм ст. 214, 220 ТК РФ, п. 8 Порядка № 29н работодателем не организовано должным образом проведение предварительных (при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приеме на работу) медицинских осмотров. Порядок возмещение расходов на прохождение медицинских осмотров Учетной политикой не утвержден;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- в нарушение норм ч. 1 ст. 93 Федерального закона № 44-ФЗ заказчиком неверно выбран способ определения поставщика по до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говорам с единственным поставщиком </w:t>
            </w:r>
            <w:r>
              <w:rPr>
                <w:rFonts w:ascii="Liberation Serif" w:hAnsi="Liberation Serif"/>
                <w:sz w:val="28"/>
                <w:szCs w:val="28"/>
              </w:rPr>
              <w:t>на поставку электрической энергии № ЭЭ 0465-39548 от 01.01.2022, вывоз мусора № РФ 03КО0104000060 от 11.01.2022, на техническое обслуживание коммунальных сетей №3/2022-А от 14.01.2022, на поставку тепловой энергии № 14/20</w:t>
            </w:r>
            <w:r>
              <w:rPr>
                <w:rFonts w:ascii="Liberation Serif" w:hAnsi="Liberation Serif"/>
                <w:sz w:val="28"/>
                <w:szCs w:val="28"/>
              </w:rPr>
              <w:t>22-Т от 31.01.2022, на оказание услуг по водоснабжению, водоотведению №15/2022-В от 31.01.2022;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выявлены следующие нарушения и недостатки при определении и обосновании НМЦК: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в нарушение </w:t>
            </w:r>
            <w:hyperlink r:id="rId9">
              <w:r>
                <w:rPr>
                  <w:rFonts w:ascii="Liberation Serif" w:hAnsi="Liberation Serif"/>
                  <w:sz w:val="28"/>
                  <w:szCs w:val="28"/>
                </w:rPr>
                <w:t>ч. 2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и </w:t>
            </w:r>
            <w:hyperlink r:id="rId10">
              <w:r>
                <w:rPr>
                  <w:rFonts w:ascii="Liberation Serif" w:hAnsi="Liberation Serif"/>
                  <w:sz w:val="28"/>
                  <w:szCs w:val="28"/>
                </w:rPr>
                <w:t>5 ст. 22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Федерального закона № 44-ФЗ заказчиком при обосновании НМЦК использовалась информация о ценах товаров полученных без запросов от поставщиков, не осуществляющих постав</w:t>
            </w:r>
            <w:r>
              <w:rPr>
                <w:rFonts w:ascii="Liberation Serif" w:hAnsi="Liberation Serif"/>
                <w:sz w:val="28"/>
                <w:szCs w:val="28"/>
              </w:rPr>
              <w:t>ку идентичных либо однородных товаров, выполнение работ, оказание услуг;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 нарушение </w:t>
            </w:r>
            <w:hyperlink r:id="rId11">
              <w:r>
                <w:rPr>
                  <w:rFonts w:ascii="Liberation Serif" w:hAnsi="Liberation Serif"/>
                  <w:sz w:val="28"/>
                  <w:szCs w:val="28"/>
                </w:rPr>
                <w:t xml:space="preserve">ч. </w:t>
              </w:r>
              <w:r>
                <w:rPr>
                  <w:rFonts w:ascii="Liberation Serif" w:hAnsi="Liberation Serif"/>
                  <w:sz w:val="28"/>
                  <w:szCs w:val="28"/>
                </w:rPr>
                <w:t>2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hyperlink r:id="rId12">
              <w:r>
                <w:rPr>
                  <w:rFonts w:ascii="Liberation Serif" w:hAnsi="Liberation Serif"/>
                  <w:sz w:val="28"/>
                  <w:szCs w:val="28"/>
                </w:rPr>
                <w:t>3 ст. 22</w:t>
              </w:r>
            </w:hyperlink>
            <w:r>
              <w:rPr>
                <w:rFonts w:ascii="Liberation Serif" w:hAnsi="Liberation Serif"/>
                <w:sz w:val="28"/>
                <w:szCs w:val="28"/>
              </w:rPr>
              <w:t xml:space="preserve"> Федерального закона № 44-ФЗ заказчиком при обосновании НМЦК использовалась инф</w:t>
            </w:r>
            <w:r>
              <w:rPr>
                <w:rFonts w:ascii="Liberation Serif" w:hAnsi="Liberation Serif"/>
                <w:sz w:val="28"/>
                <w:szCs w:val="28"/>
              </w:rPr>
              <w:t>ормация о ценах товаров, работ, услуг  с несопоставимыми с условиями планируемой закупки коммерческими и (или) финансовыми условиями поставок товаров, выполнения работ, оказания услуг (например, в части сроков поставки, порядка оплаты, срока годности товар</w:t>
            </w:r>
            <w:r>
              <w:rPr>
                <w:rFonts w:ascii="Liberation Serif" w:hAnsi="Liberation Serif"/>
                <w:sz w:val="28"/>
                <w:szCs w:val="28"/>
              </w:rPr>
              <w:t>а).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- в нарушение п. 3.7 Приказа № 567 не осуществлялся запрос коммерческих предложений потенциальным поставщикам;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- применение коммерческих предложений, не содержащих характеристик предлагаемых к поставке товаров, что не позволяет сопоставить их с условия</w:t>
            </w:r>
            <w:r>
              <w:rPr>
                <w:rFonts w:ascii="Liberation Serif" w:hAnsi="Liberation Serif"/>
                <w:sz w:val="28"/>
                <w:szCs w:val="28"/>
              </w:rPr>
              <w:t>ми планируемой закупки;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 нарушение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п. 3.19 Методических рекомендаций </w:t>
            </w:r>
            <w:r>
              <w:rPr>
                <w:rFonts w:ascii="Liberation Serif" w:hAnsi="Liberation Serif"/>
                <w:sz w:val="28"/>
                <w:szCs w:val="28"/>
              </w:rPr>
              <w:br/>
              <w:t>№ 567, ч. 2, 5 ст. 22 Федерального закона № 44-ФЗ заказчиком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использованы при определении и обосновании начальной (максимальной) цены контракта с применением метода анализа рынка инфо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рмации о ценах товаров, полученных от поставщика, не осуществляющего поставки идентичных товаров, планируемых к закупке;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</w:rPr>
              <w:t xml:space="preserve">в нарушение требований, установленных </w:t>
            </w:r>
            <w:hyperlink r:id="rId13">
              <w:r>
                <w:rPr>
                  <w:rFonts w:ascii="Liberation Serif" w:eastAsia="Calibri" w:hAnsi="Liberation Serif" w:cs="Liberation Serif"/>
                  <w:bCs/>
                  <w:color w:val="000000" w:themeColor="text1"/>
                  <w:sz w:val="28"/>
                  <w:szCs w:val="28"/>
                </w:rPr>
                <w:t>ч. 7 ст. 94</w:t>
              </w:r>
            </w:hyperlink>
            <w:r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</w:rPr>
              <w:t xml:space="preserve"> Федерального закона №44-ФЗ, а также условий заключенного контракта, заказчиком не осуществлена приемка выполненных работ в установленный срок по муниципальному контракту</w:t>
            </w: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в на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рушение ч. 7 ст. 34 Федерального закона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№ 44-ФЗ заказчиком неверно рассчитана сумма пеней, выставляемая подрядчику за нарушение ими сроков исполнения обязательств по муниципальному контракту контракту;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- в нарушение п. 8, 9 постановления Правительства РФ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от 04.07.2018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№ 783 заказчиком при списании пеней не осуществлена сверка расчетов по неустойке с подрядчиком и отсутствует заключение комиссии по поступлению и выбытию активов о списании начисленных пеней;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- в нарушение п. 2 ч. 1 ст. 94 Федерального закон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а № 44-ФЗ, пунктами договоров с единственным поставщиком заказчиком не соблюден порядок оплаты за оказанные услуги;</w:t>
            </w:r>
          </w:p>
          <w:p w:rsidR="00512B54" w:rsidRDefault="00D86329">
            <w:pPr>
              <w:widowControl w:val="0"/>
              <w:suppressAutoHyphens w:val="0"/>
              <w:ind w:firstLine="709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в нарушение п. 10 ч. 2 ст. 103 Федерального закона № 44-ФЗ в ЕИС несвоевременно размещена информация об исполнении муниципальных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контракто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в (отдельного этапа исполнения контракта).</w:t>
            </w:r>
          </w:p>
          <w:p w:rsidR="00512B54" w:rsidRDefault="00D86329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Calibri"/>
                <w:color w:val="000000"/>
                <w:sz w:val="28"/>
                <w:szCs w:val="28"/>
              </w:rPr>
              <w:t>А</w:t>
            </w:r>
            <w:hyperlink r:id="rId14"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кт по результатам проведения проверки соблюдения МБДОУ № 17 бюджетного законодательства Российской Федерации и иных нормативных правовых актов, регулирующих бюджетные правоотношения, </w:t>
              </w:r>
              <w:r>
                <w:rPr>
                  <w:rFonts w:ascii="Liberation Serif" w:hAnsi="Liberation Serif" w:cs="Calibri"/>
                  <w:sz w:val="28"/>
                  <w:szCs w:val="28"/>
                </w:rPr>
                <w:t>направлен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 в Верхнесалдинскую городскую прокуратуру и Министерство финансо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>в Свердловской области. Учреждению выдано представление по результатам контрольного мероприятия.</w:t>
              </w:r>
            </w:hyperlink>
          </w:p>
          <w:p w:rsidR="00512B54" w:rsidRDefault="00D86329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  <w:hyperlink r:id="rId15"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t xml:space="preserve">Информация по результатам контрольного мероприятия доведена до </w:t>
              </w:r>
              <w:r>
                <w:rPr>
                  <w:rFonts w:ascii="Liberation Serif" w:hAnsi="Liberation Serif" w:cs="Calibri"/>
                  <w:color w:val="000000"/>
                  <w:sz w:val="28"/>
                  <w:szCs w:val="28"/>
                </w:rPr>
                <w:lastRenderedPageBreak/>
                <w:t>Главы городского округа ЗАТО Свободный.</w:t>
              </w:r>
            </w:hyperlink>
          </w:p>
          <w:p w:rsidR="00512B54" w:rsidRDefault="00512B54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 w:cs="Calibri"/>
                <w:color w:val="000000"/>
                <w:sz w:val="28"/>
                <w:szCs w:val="28"/>
              </w:rPr>
            </w:pPr>
          </w:p>
          <w:p w:rsidR="00512B54" w:rsidRDefault="00512B54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12B54" w:rsidRDefault="00512B54">
            <w:pPr>
              <w:pStyle w:val="ac"/>
              <w:widowControl w:val="0"/>
              <w:spacing w:after="0" w:line="240" w:lineRule="auto"/>
              <w:ind w:left="74"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12B54" w:rsidRDefault="00512B54">
      <w:pPr>
        <w:rPr>
          <w:rFonts w:ascii="Liberation Serif" w:hAnsi="Liberation Serif"/>
          <w:sz w:val="28"/>
          <w:szCs w:val="28"/>
        </w:rPr>
      </w:pPr>
    </w:p>
    <w:sectPr w:rsidR="00512B54">
      <w:headerReference w:type="default" r:id="rId16"/>
      <w:footerReference w:type="default" r:id="rId17"/>
      <w:pgSz w:w="11906" w:h="16838"/>
      <w:pgMar w:top="1134" w:right="567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329" w:rsidRDefault="00D86329">
      <w:r>
        <w:separator/>
      </w:r>
    </w:p>
  </w:endnote>
  <w:endnote w:type="continuationSeparator" w:id="0">
    <w:p w:rsidR="00D86329" w:rsidRDefault="00D8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737662"/>
      <w:docPartObj>
        <w:docPartGallery w:val="Page Numbers (Bottom of Page)"/>
        <w:docPartUnique/>
      </w:docPartObj>
    </w:sdtPr>
    <w:sdtEndPr/>
    <w:sdtContent>
      <w:p w:rsidR="00512B54" w:rsidRDefault="00D8632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29A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329" w:rsidRDefault="00D86329">
      <w:r>
        <w:separator/>
      </w:r>
    </w:p>
  </w:footnote>
  <w:footnote w:type="continuationSeparator" w:id="0">
    <w:p w:rsidR="00D86329" w:rsidRDefault="00D8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B54" w:rsidRDefault="00512B54">
    <w:pPr>
      <w:pStyle w:val="ae"/>
    </w:pPr>
  </w:p>
  <w:p w:rsidR="00512B54" w:rsidRDefault="00512B54">
    <w:pPr>
      <w:pStyle w:val="ae"/>
    </w:pPr>
  </w:p>
  <w:p w:rsidR="00512B54" w:rsidRDefault="00512B54">
    <w:pPr>
      <w:pStyle w:val="ae"/>
    </w:pPr>
  </w:p>
  <w:p w:rsidR="00512B54" w:rsidRDefault="00512B5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0808"/>
    <w:multiLevelType w:val="multilevel"/>
    <w:tmpl w:val="A78AFED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B54"/>
    <w:rsid w:val="004A29AE"/>
    <w:rsid w:val="00512B54"/>
    <w:rsid w:val="00D8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E04D-62E3-4FA5-879A-FA132B9E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909D8"/>
    <w:pPr>
      <w:keepNext/>
      <w:keepLines/>
      <w:numPr>
        <w:numId w:val="1"/>
      </w:numPr>
      <w:shd w:val="clear" w:color="auto" w:fill="FFFFFF"/>
      <w:spacing w:before="360" w:after="240"/>
      <w:ind w:left="0" w:firstLine="0"/>
      <w:contextualSpacing/>
      <w:outlineLvl w:val="0"/>
    </w:pPr>
    <w:rPr>
      <w:rFonts w:ascii="Calibri" w:eastAsia="Calibri" w:hAnsi="Calibri"/>
      <w:b/>
      <w:bCs/>
      <w:color w:val="FF0000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909D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D909D8"/>
    <w:pPr>
      <w:keepNext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909D8"/>
    <w:rPr>
      <w:rFonts w:ascii="Calibri" w:eastAsia="Calibri" w:hAnsi="Calibri" w:cs="Times New Roman"/>
      <w:b/>
      <w:bCs/>
      <w:color w:val="FF0000"/>
      <w:sz w:val="24"/>
      <w:szCs w:val="24"/>
      <w:shd w:val="clear" w:color="auto" w:fill="FFFFFF"/>
      <w:lang w:val="x-none"/>
    </w:rPr>
  </w:style>
  <w:style w:type="character" w:customStyle="1" w:styleId="20">
    <w:name w:val="Заголовок 2 Знак"/>
    <w:basedOn w:val="a0"/>
    <w:link w:val="2"/>
    <w:semiHidden/>
    <w:qFormat/>
    <w:rsid w:val="00D909D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4F69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D9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-">
    <w:name w:val="Интернет-ссылка"/>
    <w:basedOn w:val="a0"/>
    <w:uiPriority w:val="99"/>
    <w:semiHidden/>
    <w:unhideWhenUsed/>
    <w:rsid w:val="00C15949"/>
    <w:rPr>
      <w:color w:val="0000FF"/>
      <w:u w:val="single"/>
    </w:rPr>
  </w:style>
  <w:style w:type="character" w:customStyle="1" w:styleId="ConsPlusNormal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customStyle="1" w:styleId="ConsPlusNonformat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customStyle="1" w:styleId="s1">
    <w:name w:val="s1"/>
    <w:basedOn w:val="a0"/>
    <w:qFormat/>
    <w:rsid w:val="00D909D8"/>
  </w:style>
  <w:style w:type="character" w:customStyle="1" w:styleId="basecolor">
    <w:name w:val="basecolor"/>
    <w:basedOn w:val="a0"/>
    <w:qFormat/>
    <w:rsid w:val="00104F31"/>
  </w:style>
  <w:style w:type="character" w:customStyle="1" w:styleId="a4">
    <w:name w:val="Верх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30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alloon Text"/>
    <w:basedOn w:val="a"/>
    <w:uiPriority w:val="99"/>
    <w:semiHidden/>
    <w:unhideWhenUsed/>
    <w:qFormat/>
    <w:rsid w:val="004F69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909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link w:val="ConsPlusNormal"/>
    <w:qFormat/>
    <w:rsid w:val="00D909D8"/>
    <w:pPr>
      <w:widowControl w:val="0"/>
    </w:pPr>
    <w:rPr>
      <w:rFonts w:ascii="Arial" w:hAnsi="Arial" w:cs="Arial"/>
      <w:sz w:val="24"/>
    </w:rPr>
  </w:style>
  <w:style w:type="paragraph" w:customStyle="1" w:styleId="3">
    <w:name w:val="Название объекта3"/>
    <w:basedOn w:val="a"/>
    <w:qFormat/>
    <w:rsid w:val="00D909D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04" w:lineRule="auto"/>
      <w:ind w:firstLine="567"/>
      <w:jc w:val="both"/>
    </w:pPr>
    <w:rPr>
      <w:lang w:eastAsia="ar-SA"/>
    </w:rPr>
  </w:style>
  <w:style w:type="paragraph" w:customStyle="1" w:styleId="21">
    <w:name w:val="Название объекта2"/>
    <w:basedOn w:val="a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customStyle="1" w:styleId="ConsPlusNonformat0">
    <w:name w:val="ConsPlusNonformat"/>
    <w:link w:val="ConsPlusNonformat"/>
    <w:qFormat/>
    <w:rsid w:val="00D909D8"/>
    <w:rPr>
      <w:rFonts w:ascii="Courier New" w:hAnsi="Courier New" w:cs="Courier New"/>
      <w:sz w:val="24"/>
    </w:rPr>
  </w:style>
  <w:style w:type="paragraph" w:customStyle="1" w:styleId="ConsPlusCell">
    <w:name w:val="ConsPlusCell"/>
    <w:uiPriority w:val="99"/>
    <w:qFormat/>
    <w:rsid w:val="00D909D8"/>
    <w:rPr>
      <w:rFonts w:ascii="Courier New" w:eastAsia="Times New Roman" w:hAnsi="Courier New" w:cs="Courier New"/>
      <w:szCs w:val="20"/>
      <w:lang w:eastAsia="ru-RU"/>
    </w:rPr>
  </w:style>
  <w:style w:type="paragraph" w:customStyle="1" w:styleId="copyright-info">
    <w:name w:val="copyright-info"/>
    <w:basedOn w:val="a"/>
    <w:uiPriority w:val="99"/>
    <w:qFormat/>
    <w:rsid w:val="00D909D8"/>
    <w:pPr>
      <w:spacing w:beforeAutospacing="1" w:afterAutospacing="1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30958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Normal (Web)"/>
    <w:basedOn w:val="a"/>
    <w:uiPriority w:val="99"/>
    <w:semiHidden/>
    <w:unhideWhenUsed/>
    <w:qFormat/>
    <w:rsid w:val="002A50C6"/>
    <w:pPr>
      <w:suppressAutoHyphens w:val="0"/>
      <w:spacing w:beforeAutospacing="1" w:afterAutospacing="1"/>
    </w:pPr>
  </w:style>
  <w:style w:type="paragraph" w:customStyle="1" w:styleId="12">
    <w:name w:val="Обычная таблица1"/>
    <w:qFormat/>
    <w:rPr>
      <w:rFonts w:cs="Calibri"/>
    </w:rPr>
  </w:style>
  <w:style w:type="paragraph" w:customStyle="1" w:styleId="22">
    <w:name w:val="Обычная таблица2"/>
    <w:qFormat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western">
    <w:name w:val="western"/>
    <w:basedOn w:val="a"/>
    <w:qFormat/>
    <w:pPr>
      <w:suppressAutoHyphens w:val="0"/>
      <w:spacing w:beforeAutospacing="1" w:after="142" w:line="276" w:lineRule="auto"/>
    </w:pPr>
    <w:rPr>
      <w:color w:val="000000"/>
    </w:rPr>
  </w:style>
  <w:style w:type="paragraph" w:customStyle="1" w:styleId="30">
    <w:name w:val="Обычная таблица3"/>
    <w:qFormat/>
    <w:rPr>
      <w:rFonts w:cs="Calibri"/>
    </w:rPr>
  </w:style>
  <w:style w:type="paragraph" w:customStyle="1" w:styleId="4">
    <w:name w:val="Обычная таблица4"/>
    <w:qFormat/>
    <w:rPr>
      <w:rFonts w:cs="Calibri"/>
    </w:rPr>
  </w:style>
  <w:style w:type="table" w:styleId="af3">
    <w:name w:val="Table Grid"/>
    <w:basedOn w:val="a1"/>
    <w:rsid w:val="00356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3BDB24FCE2FDA819BDE8980F3008AF9B46C927BE4B17A4F89F9DBA57070EB2C50118BBB412054B195FD111A11B6g4u9F" TargetMode="External"/><Relationship Id="rId13" Type="http://schemas.openxmlformats.org/officeDocument/2006/relationships/hyperlink" Target="consultantplus://offline/ref=EB651FD5109FE7EB108A24C5CA58CAFF9E48707E95C54216126C0767A44D6B8E2ADB075BA6EEA65D563D6FC6AC5210D0F3424B231867B7V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567A1A3403BC357EDA04688DB923AE7023525E2A8AAD7440ABDF9A35B7DF1C9384622ABD293BF3C0B62115804EE3D3EB409743B5B0E306T1k8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567A1A3403BC357EDA04688DB923AE7023525E2A8AAD7440ABDF9A35B7DF1C9384622ABD293BF3C3B62115804EE3D3EB409743B5B0E306T1k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E26588CD2EB2CA8642E0580ECCEA2F24CD694612D8B40C80F72906EC64ADA0250A341131EB461ADE9EBF7834E8D93FEC44DABEBDA3E641Y855L" TargetMode="External"/><Relationship Id="rId10" Type="http://schemas.openxmlformats.org/officeDocument/2006/relationships/hyperlink" Target="consultantplus://offline/ref=66567A1A3403BC357EDA04688DB923AE7023525E2A8AAD7440ABDF9A35B7DF1C9384622ABD293BF3CEB62115804EE3D3EB409743B5B0E306T1k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67A1A3403BC357EDA04688DB923AE7023525E2A8AAD7440ABDF9A35B7DF1C9384622ABD293BF3C3B62115804EE3D3EB409743B5B0E306T1k8K" TargetMode="External"/><Relationship Id="rId14" Type="http://schemas.openxmlformats.org/officeDocument/2006/relationships/hyperlink" Target="consultantplus://offline/ref=16E26588CD2EB2CA8642E0580ECCEA2F24CD694612D8B40C80F72906EC64ADA0250A341131EB461ADE9EBF7834E8D93FEC44DABEBDA3E641Y85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E6AF-A317-4757-9DDC-DFC2C598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17489</TotalTime>
  <Pages>1</Pages>
  <Words>991</Words>
  <Characters>5653</Characters>
  <Application>Microsoft Office Word</Application>
  <DocSecurity>0</DocSecurity>
  <Lines>47</Lines>
  <Paragraphs>13</Paragraphs>
  <ScaleCrop>false</ScaleCrop>
  <Company>Microsoft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Щекалева</dc:creator>
  <dc:description/>
  <cp:lastModifiedBy>Шикова</cp:lastModifiedBy>
  <cp:revision>417</cp:revision>
  <cp:lastPrinted>2021-04-22T05:07:00Z</cp:lastPrinted>
  <dcterms:created xsi:type="dcterms:W3CDTF">2020-02-19T10:24:00Z</dcterms:created>
  <dcterms:modified xsi:type="dcterms:W3CDTF">2023-05-16T10:22:00Z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